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31C0" w14:textId="77777777" w:rsidR="00952B8B" w:rsidRPr="00952B8B" w:rsidRDefault="00952B8B" w:rsidP="00952B8B">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518"/>
      <w:bookmarkStart w:id="1" w:name="_Toc146805037"/>
      <w:r w:rsidRPr="00952B8B">
        <w:rPr>
          <w:rFonts w:eastAsia="Calibri" w:cs="Times New Roman"/>
          <w:b/>
          <w:caps/>
          <w:kern w:val="0"/>
          <w:sz w:val="24"/>
          <w:szCs w:val="24"/>
          <w14:ligatures w14:val="none"/>
        </w:rPr>
        <w:t>Ương cá giống</w:t>
      </w:r>
      <w:bookmarkEnd w:id="0"/>
      <w:bookmarkEnd w:id="1"/>
    </w:p>
    <w:p w14:paraId="3DBB64CC" w14:textId="77777777" w:rsidR="00952B8B" w:rsidRPr="00952B8B" w:rsidRDefault="00952B8B" w:rsidP="00952B8B">
      <w:pPr>
        <w:spacing w:before="60" w:after="60" w:line="240" w:lineRule="auto"/>
        <w:jc w:val="both"/>
        <w:rPr>
          <w:rFonts w:eastAsia="Calibri" w:cs="Times New Roman"/>
          <w:kern w:val="0"/>
          <w:sz w:val="28"/>
          <w:szCs w:val="28"/>
          <w:lang w:val="vi-VN"/>
          <w14:ligatures w14:val="none"/>
        </w:rPr>
      </w:pPr>
      <w:r w:rsidRPr="00952B8B">
        <w:rPr>
          <w:rFonts w:eastAsia="Calibri" w:cs="Times New Roman"/>
          <w:kern w:val="0"/>
          <w:sz w:val="28"/>
          <w:szCs w:val="28"/>
          <w:lang w:val="vi-VN"/>
          <w14:ligatures w14:val="none"/>
        </w:rPr>
        <w:t xml:space="preserve">quá trình chăm sóc và nuôi dưỡng cá từ </w:t>
      </w:r>
      <w:r w:rsidRPr="00952B8B">
        <w:rPr>
          <w:rFonts w:eastAsia="Calibri" w:cs="Times New Roman"/>
          <w:kern w:val="0"/>
          <w:sz w:val="28"/>
          <w:szCs w:val="28"/>
          <w14:ligatures w14:val="none"/>
        </w:rPr>
        <w:t xml:space="preserve">giai đoạn </w:t>
      </w:r>
      <w:r w:rsidRPr="00952B8B">
        <w:rPr>
          <w:rFonts w:eastAsia="Calibri" w:cs="Times New Roman"/>
          <w:kern w:val="0"/>
          <w:sz w:val="28"/>
          <w:szCs w:val="28"/>
          <w:lang w:val="vi-VN"/>
          <w14:ligatures w14:val="none"/>
        </w:rPr>
        <w:t>cá bột (cá mới nở) hoặc cá hương (cá bột được ương một thời gian và có chiều dài thân từ 1-3 cm) lên đến cỡ cá giống (chiều dài thân từ 3-6 cm).</w:t>
      </w:r>
    </w:p>
    <w:p w14:paraId="5916BBFA" w14:textId="77777777" w:rsidR="00952B8B" w:rsidRPr="00952B8B" w:rsidRDefault="00952B8B" w:rsidP="00952B8B">
      <w:pPr>
        <w:spacing w:before="60" w:after="60" w:line="240" w:lineRule="auto"/>
        <w:ind w:firstLine="720"/>
        <w:jc w:val="both"/>
        <w:rPr>
          <w:rFonts w:eastAsia="Calibri" w:cs="Times New Roman"/>
          <w:kern w:val="0"/>
          <w:sz w:val="28"/>
          <w:szCs w:val="28"/>
          <w:lang w:val="vi-VN"/>
          <w14:ligatures w14:val="none"/>
        </w:rPr>
      </w:pPr>
      <w:r w:rsidRPr="00952B8B">
        <w:rPr>
          <w:rFonts w:eastAsia="Calibri" w:cs="Times New Roman"/>
          <w:kern w:val="0"/>
          <w:sz w:val="28"/>
          <w:szCs w:val="28"/>
          <w:lang w:val="vi-VN"/>
          <w14:ligatures w14:val="none"/>
        </w:rPr>
        <w:t>Giai đoạn ương từ cá bột lên cá hương: cá hương là sản phẩm trung gian trong quá trình sản xuất cá giống, chúng có chiều dài thân dao động từ 1-3cm tùy từng loài. Cá hương có hình thái giống với cá trưởng thành. Đối với cá biển và một số loài cá nước ngọt thì cá hương đã hoàn thành quá trình biến thái (các giai đoạn biến đổi về hình thái trước khi chúng có hình thái giống với cá trưởng thành). Đa số loài cá nước ngọt, cá bột mới nở đã có hình thái giống với cá trưởng thành và chúng không có giai đoạn biến thái. Thời gian ương từ cá bột lên cá hương thường kéo dài từ 25 đến 45 ngày tùy từng loài.</w:t>
      </w:r>
    </w:p>
    <w:p w14:paraId="583645CD" w14:textId="77777777" w:rsidR="00952B8B" w:rsidRPr="00952B8B" w:rsidRDefault="00952B8B" w:rsidP="00952B8B">
      <w:pPr>
        <w:spacing w:before="60" w:after="60" w:line="240" w:lineRule="auto"/>
        <w:ind w:firstLine="720"/>
        <w:jc w:val="both"/>
        <w:rPr>
          <w:rFonts w:eastAsia="Calibri" w:cs="Times New Roman"/>
          <w:kern w:val="0"/>
          <w:sz w:val="28"/>
          <w:szCs w:val="28"/>
          <w:lang w:val="vi-VN"/>
          <w14:ligatures w14:val="none"/>
        </w:rPr>
      </w:pPr>
      <w:r w:rsidRPr="00952B8B">
        <w:rPr>
          <w:rFonts w:eastAsia="Calibri" w:cs="Times New Roman"/>
          <w:kern w:val="0"/>
          <w:sz w:val="28"/>
          <w:szCs w:val="28"/>
          <w:lang w:val="vi-VN"/>
          <w14:ligatures w14:val="none"/>
        </w:rPr>
        <w:t xml:space="preserve">Giai đoạn ương từ cá bột lên cá hương thường khó khăn nhất trong quy trình ương cá giống và giai đoạn này thường có tỉ lệ hao hụt cao nhất. Đây là giai đoạn cá còn nhỏ, đang tập thích ứng với môi trường sống bên ngoài, khả năng chống chịu với sự thay đổi môi trường sống và địch hại kém. Cá trải qua nhiều giai đoạn biến thái (đa số loài cá biển và một số loài cá nước ngọt). Cá mới nở dinh dưỡng bằng noãn hoàng trong thời gian từ 1-3 ngày, sau đó chúng bắt đầu ăn thức ăn ngoài. Trong quá trình ương giống, thức ăn được cung cấp thường xuyên vào bể ương với thành phần và liều lượng phù hợp với từng loài và từng giai đoạn phát triển của cá. Thời điểm bắt đầu ăn thức ăn ngoài, cá thường bị chết nhiều nếu thiếu thức ăn hoặc thức ăn không phù hợp với cỡ miệng của chúng. Kích cỡ thức ăn và nhu cầu dinh dưỡng của cá có khác nhau tùy từng loài. Việc xác định được nhu cầu dinh dưỡng và cỡ thức ăn phù hợp cho từng loài có tính quyết định đến tỉ lệ thành công của quá trình ương cá trong giai đoạn này. </w:t>
      </w:r>
    </w:p>
    <w:p w14:paraId="3520BD76" w14:textId="77777777" w:rsidR="00952B8B" w:rsidRPr="00952B8B" w:rsidRDefault="00952B8B" w:rsidP="00952B8B">
      <w:pPr>
        <w:spacing w:before="60" w:after="60" w:line="240" w:lineRule="auto"/>
        <w:ind w:firstLine="720"/>
        <w:jc w:val="both"/>
        <w:rPr>
          <w:rFonts w:eastAsia="Calibri" w:cs="Times New Roman"/>
          <w:kern w:val="0"/>
          <w:sz w:val="28"/>
          <w:szCs w:val="28"/>
          <w:lang w:val="vi-VN"/>
          <w14:ligatures w14:val="none"/>
        </w:rPr>
      </w:pPr>
      <w:r w:rsidRPr="00952B8B">
        <w:rPr>
          <w:rFonts w:eastAsia="Calibri" w:cs="Times New Roman"/>
          <w:kern w:val="0"/>
          <w:sz w:val="28"/>
          <w:szCs w:val="28"/>
          <w:lang w:val="vi-VN"/>
          <w14:ligatures w14:val="none"/>
        </w:rPr>
        <w:t>Giai đoạn ương từ cá hương lên cá giống: cá hương được ương một thời gian đến khi đạt được kích cỡ có thể sử dụng để nuôi thương phẩm (cá giống). Giai đoạn này, cá phát triển nhanh về chiều dài và khối lượng. Tỉ lệ sống của cá từ cá hương lên cá giống thường ổn định và cao hơn nhiều so với giai đoạn trước. Thức ăn trong giai đoạn này chủ yếu là thức ăn công nghiệp. Thức ăn tươi sống được giảm dần đến khi cá có thể ăn hoàn toàn thức ăn công nghiệp. Quá trình ương cá hương lên cá giống mất khoảng 30-45 ngày ương tùy từng loài.</w:t>
      </w:r>
    </w:p>
    <w:p w14:paraId="4411389A" w14:textId="77777777" w:rsidR="00952B8B" w:rsidRPr="00952B8B" w:rsidRDefault="00952B8B" w:rsidP="00952B8B">
      <w:pPr>
        <w:spacing w:before="60" w:after="60" w:line="240" w:lineRule="auto"/>
        <w:ind w:firstLine="720"/>
        <w:jc w:val="both"/>
        <w:rPr>
          <w:rFonts w:eastAsia="Calibri" w:cs="Times New Roman"/>
          <w:kern w:val="0"/>
          <w:sz w:val="28"/>
          <w:szCs w:val="28"/>
          <w:lang w:val="vi-VN"/>
          <w14:ligatures w14:val="none"/>
        </w:rPr>
      </w:pPr>
      <w:r w:rsidRPr="00952B8B">
        <w:rPr>
          <w:rFonts w:eastAsia="Calibri" w:cs="Times New Roman"/>
          <w:kern w:val="0"/>
          <w:sz w:val="28"/>
          <w:szCs w:val="28"/>
          <w:lang w:val="vi-VN"/>
          <w14:ligatures w14:val="none"/>
        </w:rPr>
        <w:t>Hệ thống ương cá giống phổ biến hiện nay về cơ bản có hai hệ thống gồm: hệ thống ương trong nhà và hệ thống ương ngoài trời. Sự khác biệt giữa hai hệ thống này là ương trong nhà thường sử dụng loại bể có kích cỡ nhỏ (10-50 m</w:t>
      </w:r>
      <w:r w:rsidRPr="00952B8B">
        <w:rPr>
          <w:rFonts w:eastAsia="Calibri" w:cs="Times New Roman"/>
          <w:kern w:val="0"/>
          <w:sz w:val="28"/>
          <w:szCs w:val="28"/>
          <w:vertAlign w:val="superscript"/>
          <w:lang w:val="vi-VN"/>
          <w14:ligatures w14:val="none"/>
        </w:rPr>
        <w:t>3</w:t>
      </w:r>
      <w:r w:rsidRPr="00952B8B">
        <w:rPr>
          <w:rFonts w:eastAsia="Calibri" w:cs="Times New Roman"/>
          <w:kern w:val="0"/>
          <w:sz w:val="28"/>
          <w:szCs w:val="28"/>
          <w:lang w:val="vi-VN"/>
          <w14:ligatures w14:val="none"/>
        </w:rPr>
        <w:t>) trong nhà, trong khi đó hệ thống ương ngoài trời thường sử dụng ao hoặc bể lớn ngoài trời (thường có thể tích từ 200–5.000 m</w:t>
      </w:r>
      <w:r w:rsidRPr="00952B8B">
        <w:rPr>
          <w:rFonts w:eastAsia="Calibri" w:cs="Times New Roman"/>
          <w:kern w:val="0"/>
          <w:sz w:val="28"/>
          <w:szCs w:val="28"/>
          <w:vertAlign w:val="superscript"/>
          <w:lang w:val="vi-VN"/>
          <w14:ligatures w14:val="none"/>
        </w:rPr>
        <w:t>3</w:t>
      </w:r>
      <w:r w:rsidRPr="00952B8B">
        <w:rPr>
          <w:rFonts w:eastAsia="Calibri" w:cs="Times New Roman"/>
          <w:kern w:val="0"/>
          <w:sz w:val="28"/>
          <w:szCs w:val="28"/>
          <w:lang w:val="vi-VN"/>
          <w14:ligatures w14:val="none"/>
        </w:rPr>
        <w:t xml:space="preserve">, ao/bể có thể có mái che bằng lưới lan để che bớt ánh sáng và kiểm soát nhiệt độ vào mùa hè). Đối với cá </w:t>
      </w:r>
      <w:r w:rsidRPr="00952B8B">
        <w:rPr>
          <w:rFonts w:eastAsia="Calibri" w:cs="Times New Roman"/>
          <w:kern w:val="0"/>
          <w:sz w:val="28"/>
          <w:szCs w:val="28"/>
          <w:lang w:val="vi-VN"/>
          <w14:ligatures w14:val="none"/>
        </w:rPr>
        <w:lastRenderedPageBreak/>
        <w:t>biển, mô hình phổ biến là kết hợp giữa ương cá giống giai đoạn đầu (từ cá bột lên cá hương) trong hệ thống ngoài trời và giai đoạn sau (từ cá hương lên cá giống) trong hệ thống ương trong nhà. Hệ thống bể ương trong nhà cho phép công việc định kỳ phân cỡ cá và tập cho cá ăn thức ăn công nghiệp được thuận lợi và dễ thực hiện hơn. Phân cỡ cá nhằm đảm bảo cá trong cùng một bể có kích cỡ tương đương nhau vì chúng thường tấn công và ăn thịt lẫn nhau khi có sự chênh lệch đáng kể về kích cỡ (đối với cá biển và một số loài cá nước ngọt). Đối với cá nước ngọt, mô hình kết hợp thường ngược với cá biển. Thời gian đầu, cá bột nước ngọt thường được ương trong hệ thống bể trong nhà, khi cá đạt kích cỡ cá hương chúng được chuyển ra hệ thống bể/ao ương ngoài trời và ương đến khi thành cá giống.</w:t>
      </w:r>
    </w:p>
    <w:p w14:paraId="63B53287" w14:textId="77777777" w:rsidR="00952B8B" w:rsidRPr="00952B8B" w:rsidRDefault="00952B8B" w:rsidP="00952B8B">
      <w:pPr>
        <w:spacing w:before="60" w:after="60" w:line="240" w:lineRule="auto"/>
        <w:ind w:firstLine="720"/>
        <w:jc w:val="both"/>
        <w:rPr>
          <w:rFonts w:eastAsia="Calibri" w:cs="Times New Roman"/>
          <w:kern w:val="0"/>
          <w:szCs w:val="26"/>
          <w:lang w:val="vi-VN"/>
          <w14:ligatures w14:val="none"/>
        </w:rPr>
      </w:pPr>
      <w:r w:rsidRPr="00952B8B">
        <w:rPr>
          <w:rFonts w:eastAsia="Calibri" w:cs="Times New Roman"/>
          <w:kern w:val="0"/>
          <w:sz w:val="28"/>
          <w:szCs w:val="28"/>
          <w:lang w:val="vi-VN"/>
          <w14:ligatures w14:val="none"/>
        </w:rPr>
        <w:t>Một số yếu tố môi trường nước ương như: Nhiệt độ, độ mặn (đối với cá biển), hàm lượng ô xy hòa tan là những yếu tố rất quan trọng cần được kiểm soát tốt để đem lại tỷ lệ sống cao trong quá trình ương. Ngưỡng nhiệt độ phù hợp cho việc ương cá giống từ 28-32°C (ngoại trừ các đối tượng cá nước lạnh như cá hồi, cá tầm). Trong khi đó, độ mặn đối với ương cá biển thích hợp từ 25-32‰ tùy từng loài.</w:t>
      </w:r>
      <w:r w:rsidRPr="00952B8B">
        <w:rPr>
          <w:rFonts w:eastAsia="Calibri" w:cs="Times New Roman"/>
          <w:kern w:val="0"/>
          <w:szCs w:val="26"/>
          <w:lang w:val="vi-VN"/>
          <w14:ligatures w14:val="none"/>
        </w:rPr>
        <w:t xml:space="preserve">  </w:t>
      </w:r>
    </w:p>
    <w:p w14:paraId="396042EE" w14:textId="77777777" w:rsidR="00952B8B" w:rsidRPr="00952B8B" w:rsidRDefault="00952B8B" w:rsidP="00952B8B">
      <w:pPr>
        <w:spacing w:before="60" w:after="60" w:line="240" w:lineRule="auto"/>
        <w:jc w:val="right"/>
        <w:rPr>
          <w:rFonts w:eastAsia="Calibri" w:cs="Times New Roman"/>
          <w:b/>
          <w:kern w:val="0"/>
          <w:sz w:val="20"/>
          <w:szCs w:val="20"/>
          <w:lang w:val="vi-VN"/>
          <w14:ligatures w14:val="none"/>
        </w:rPr>
      </w:pPr>
      <w:r w:rsidRPr="00952B8B">
        <w:rPr>
          <w:rFonts w:eastAsia="Calibri" w:cs="Times New Roman"/>
          <w:b/>
          <w:kern w:val="0"/>
          <w:sz w:val="20"/>
          <w:szCs w:val="20"/>
          <w:lang w:val="vi-VN"/>
          <w14:ligatures w14:val="none"/>
        </w:rPr>
        <w:t>VŨ VĂN IN</w:t>
      </w:r>
    </w:p>
    <w:p w14:paraId="3CF46ECA" w14:textId="77777777" w:rsidR="00952B8B" w:rsidRPr="00952B8B" w:rsidRDefault="00952B8B" w:rsidP="00952B8B">
      <w:pPr>
        <w:spacing w:before="60" w:after="60" w:line="240" w:lineRule="auto"/>
        <w:jc w:val="both"/>
        <w:rPr>
          <w:rFonts w:eastAsia="Calibri" w:cs="Times New Roman"/>
          <w:b/>
          <w:kern w:val="0"/>
          <w:sz w:val="20"/>
          <w:szCs w:val="20"/>
          <w14:ligatures w14:val="none"/>
        </w:rPr>
      </w:pPr>
      <w:r w:rsidRPr="00952B8B">
        <w:rPr>
          <w:rFonts w:eastAsia="Calibri" w:cs="Times New Roman"/>
          <w:b/>
          <w:kern w:val="0"/>
          <w:sz w:val="20"/>
          <w:szCs w:val="20"/>
          <w14:ligatures w14:val="none"/>
        </w:rPr>
        <w:t xml:space="preserve">Tài liệu tham khảo: </w:t>
      </w:r>
    </w:p>
    <w:p w14:paraId="084B1C6B" w14:textId="77777777" w:rsidR="00952B8B" w:rsidRPr="00952B8B" w:rsidRDefault="00952B8B" w:rsidP="00952B8B">
      <w:pPr>
        <w:numPr>
          <w:ilvl w:val="0"/>
          <w:numId w:val="2"/>
        </w:numPr>
        <w:tabs>
          <w:tab w:val="left" w:pos="284"/>
          <w:tab w:val="left" w:pos="1080"/>
        </w:tabs>
        <w:spacing w:before="60" w:after="60" w:line="240" w:lineRule="auto"/>
        <w:contextualSpacing/>
        <w:jc w:val="both"/>
        <w:rPr>
          <w:rFonts w:eastAsia="Calibri" w:cs="Times New Roman"/>
          <w:kern w:val="0"/>
          <w:sz w:val="20"/>
          <w:szCs w:val="20"/>
          <w:lang w:val="vi-VN"/>
          <w14:ligatures w14:val="none"/>
        </w:rPr>
      </w:pPr>
      <w:r w:rsidRPr="00952B8B">
        <w:rPr>
          <w:rFonts w:eastAsia="Calibri" w:cs="Times New Roman"/>
          <w:kern w:val="0"/>
          <w:sz w:val="20"/>
          <w:szCs w:val="20"/>
          <w:lang w:val="vi-VN"/>
          <w14:ligatures w14:val="none"/>
        </w:rPr>
        <w:t xml:space="preserve">Lê Xân, Đỗ Xuân Hải, Nguyễn Huy Hưng và </w:t>
      </w:r>
      <w:r w:rsidRPr="00952B8B">
        <w:rPr>
          <w:rFonts w:eastAsia="Calibri" w:cs="Times New Roman"/>
          <w:kern w:val="0"/>
          <w:sz w:val="20"/>
          <w:szCs w:val="20"/>
          <w14:ligatures w14:val="none"/>
        </w:rPr>
        <w:t>cộng sự</w:t>
      </w:r>
      <w:r w:rsidRPr="00952B8B">
        <w:rPr>
          <w:rFonts w:eastAsia="Calibri" w:cs="Times New Roman"/>
          <w:kern w:val="0"/>
          <w:sz w:val="20"/>
          <w:szCs w:val="20"/>
          <w:lang w:val="vi-VN"/>
          <w14:ligatures w14:val="none"/>
        </w:rPr>
        <w:t xml:space="preserve"> </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w:t>
      </w:r>
      <w:r w:rsidRPr="00952B8B">
        <w:rPr>
          <w:rFonts w:eastAsia="Calibri" w:cs="Times New Roman"/>
          <w:i/>
          <w:kern w:val="0"/>
          <w:sz w:val="20"/>
          <w:szCs w:val="20"/>
          <w:lang w:val="vi-VN"/>
          <w14:ligatures w14:val="none"/>
        </w:rPr>
        <w:t>Nghiên cứu đặc điểm sinh học, kỹ thuật nuôi thương phẩm và tạo đàn cá hậu bị 05 loài cá biển mới: cá Mú chuột (</w:t>
      </w:r>
      <w:r w:rsidRPr="00952B8B">
        <w:rPr>
          <w:rFonts w:eastAsia="Calibri" w:cs="Times New Roman"/>
          <w:i/>
          <w:iCs/>
          <w:kern w:val="0"/>
          <w:sz w:val="20"/>
          <w:szCs w:val="20"/>
          <w:lang w:val="vi-VN"/>
          <w14:ligatures w14:val="none"/>
        </w:rPr>
        <w:t>Cromileptes altivelis</w:t>
      </w:r>
      <w:r w:rsidRPr="00952B8B">
        <w:rPr>
          <w:rFonts w:eastAsia="Calibri" w:cs="Times New Roman"/>
          <w:i/>
          <w:kern w:val="0"/>
          <w:sz w:val="20"/>
          <w:szCs w:val="20"/>
          <w:lang w:val="vi-VN"/>
          <w14:ligatures w14:val="none"/>
        </w:rPr>
        <w:t>), cỏ Mú vằn (</w:t>
      </w:r>
      <w:r w:rsidRPr="00952B8B">
        <w:rPr>
          <w:rFonts w:eastAsia="Calibri" w:cs="Times New Roman"/>
          <w:i/>
          <w:iCs/>
          <w:kern w:val="0"/>
          <w:sz w:val="20"/>
          <w:szCs w:val="20"/>
          <w:lang w:val="vi-VN"/>
          <w14:ligatures w14:val="none"/>
        </w:rPr>
        <w:t>Epinephelus fuscoguttatus</w:t>
      </w:r>
      <w:r w:rsidRPr="00952B8B">
        <w:rPr>
          <w:rFonts w:eastAsia="Calibri" w:cs="Times New Roman"/>
          <w:i/>
          <w:kern w:val="0"/>
          <w:sz w:val="20"/>
          <w:szCs w:val="20"/>
          <w:lang w:val="vi-VN"/>
          <w14:ligatures w14:val="none"/>
        </w:rPr>
        <w:t>), cỏ Mú vua (</w:t>
      </w:r>
      <w:r w:rsidRPr="00952B8B">
        <w:rPr>
          <w:rFonts w:eastAsia="Calibri" w:cs="Times New Roman"/>
          <w:i/>
          <w:iCs/>
          <w:kern w:val="0"/>
          <w:sz w:val="20"/>
          <w:szCs w:val="20"/>
          <w:lang w:val="vi-VN"/>
          <w14:ligatures w14:val="none"/>
        </w:rPr>
        <w:t>Epinephelus lanceolatus</w:t>
      </w:r>
      <w:r w:rsidRPr="00952B8B">
        <w:rPr>
          <w:rFonts w:eastAsia="Calibri" w:cs="Times New Roman"/>
          <w:i/>
          <w:kern w:val="0"/>
          <w:sz w:val="20"/>
          <w:szCs w:val="20"/>
          <w:lang w:val="vi-VN"/>
          <w14:ligatures w14:val="none"/>
        </w:rPr>
        <w:t>), cá Hồng vân bạc (</w:t>
      </w:r>
      <w:r w:rsidRPr="00952B8B">
        <w:rPr>
          <w:rFonts w:eastAsia="Calibri" w:cs="Times New Roman"/>
          <w:i/>
          <w:iCs/>
          <w:kern w:val="0"/>
          <w:sz w:val="20"/>
          <w:szCs w:val="20"/>
          <w:lang w:val="vi-VN"/>
          <w14:ligatures w14:val="none"/>
        </w:rPr>
        <w:t>Lutjanus argentimaculatus</w:t>
      </w:r>
      <w:r w:rsidRPr="00952B8B">
        <w:rPr>
          <w:rFonts w:eastAsia="Calibri" w:cs="Times New Roman"/>
          <w:i/>
          <w:kern w:val="0"/>
          <w:sz w:val="20"/>
          <w:szCs w:val="20"/>
          <w:lang w:val="vi-VN"/>
          <w14:ligatures w14:val="none"/>
        </w:rPr>
        <w:t>) và cá chim vây vàng (</w:t>
      </w:r>
      <w:r w:rsidRPr="00952B8B">
        <w:rPr>
          <w:rFonts w:eastAsia="Calibri" w:cs="Times New Roman"/>
          <w:i/>
          <w:iCs/>
          <w:kern w:val="0"/>
          <w:sz w:val="20"/>
          <w:szCs w:val="20"/>
          <w:lang w:val="vi-VN"/>
          <w14:ligatures w14:val="none"/>
        </w:rPr>
        <w:t>Trachinotus blochii</w:t>
      </w:r>
      <w:r w:rsidRPr="00952B8B">
        <w:rPr>
          <w:rFonts w:eastAsia="Calibri" w:cs="Times New Roman"/>
          <w:i/>
          <w:kern w:val="0"/>
          <w:sz w:val="20"/>
          <w:szCs w:val="20"/>
          <w:lang w:val="vi-VN"/>
          <w14:ligatures w14:val="none"/>
        </w:rPr>
        <w:t>)</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Báo cáo tổng kết đề tài cấp Nhà nước, Viện nghiên cứu NTTS I, Bộ Nông nghiệp và Phát triển Nông năm 2006.</w:t>
      </w:r>
    </w:p>
    <w:p w14:paraId="448DF0F7" w14:textId="77777777" w:rsidR="00952B8B" w:rsidRPr="00952B8B" w:rsidRDefault="00952B8B" w:rsidP="00952B8B">
      <w:pPr>
        <w:numPr>
          <w:ilvl w:val="0"/>
          <w:numId w:val="2"/>
        </w:numPr>
        <w:tabs>
          <w:tab w:val="left" w:pos="284"/>
          <w:tab w:val="left" w:pos="1080"/>
        </w:tabs>
        <w:spacing w:before="60" w:after="60" w:line="240" w:lineRule="auto"/>
        <w:contextualSpacing/>
        <w:jc w:val="both"/>
        <w:rPr>
          <w:rFonts w:eastAsia="Calibri" w:cs="Times New Roman"/>
          <w:kern w:val="0"/>
          <w:sz w:val="20"/>
          <w:szCs w:val="20"/>
          <w:lang w:val="vi-VN"/>
          <w14:ligatures w14:val="none"/>
        </w:rPr>
      </w:pPr>
      <w:r w:rsidRPr="00952B8B">
        <w:rPr>
          <w:rFonts w:eastAsia="Calibri" w:cs="Times New Roman"/>
          <w:kern w:val="0"/>
          <w:sz w:val="20"/>
          <w:szCs w:val="20"/>
          <w:lang w:val="vi-VN"/>
          <w14:ligatures w14:val="none"/>
        </w:rPr>
        <w:t xml:space="preserve">FAO </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w:t>
      </w:r>
      <w:r w:rsidRPr="00952B8B">
        <w:rPr>
          <w:rFonts w:eastAsia="Calibri" w:cs="Times New Roman"/>
          <w:i/>
          <w:kern w:val="0"/>
          <w:sz w:val="20"/>
          <w:szCs w:val="20"/>
          <w:lang w:val="vi-VN"/>
          <w14:ligatures w14:val="none"/>
        </w:rPr>
        <w:t>Cultured Aquatic Species Information Programme</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Food and Agriculture Organization of the United Nations, 2006.</w:t>
      </w:r>
    </w:p>
    <w:p w14:paraId="14620122" w14:textId="77777777" w:rsidR="00952B8B" w:rsidRPr="00952B8B" w:rsidRDefault="00952B8B" w:rsidP="00952B8B">
      <w:pPr>
        <w:numPr>
          <w:ilvl w:val="0"/>
          <w:numId w:val="2"/>
        </w:numPr>
        <w:tabs>
          <w:tab w:val="left" w:pos="284"/>
          <w:tab w:val="left" w:pos="1080"/>
        </w:tabs>
        <w:spacing w:before="60" w:after="60" w:line="240" w:lineRule="auto"/>
        <w:contextualSpacing/>
        <w:jc w:val="both"/>
        <w:rPr>
          <w:rFonts w:eastAsia="Calibri" w:cs="Times New Roman"/>
          <w:kern w:val="0"/>
          <w:sz w:val="20"/>
          <w:szCs w:val="20"/>
          <w:lang w:val="vi-VN"/>
          <w14:ligatures w14:val="none"/>
        </w:rPr>
      </w:pPr>
      <w:r w:rsidRPr="00952B8B">
        <w:rPr>
          <w:rFonts w:eastAsia="Calibri" w:cs="Times New Roman"/>
          <w:kern w:val="0"/>
          <w:sz w:val="20"/>
          <w:szCs w:val="20"/>
          <w:lang w:val="vi-VN"/>
          <w14:ligatures w14:val="none"/>
        </w:rPr>
        <w:t xml:space="preserve">Najmudeen, T.M., Victor A.C.C. </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w:t>
      </w:r>
      <w:r w:rsidRPr="00952B8B">
        <w:rPr>
          <w:rFonts w:eastAsia="Calibri" w:cs="Times New Roman"/>
          <w:i/>
          <w:kern w:val="0"/>
          <w:sz w:val="20"/>
          <w:szCs w:val="20"/>
          <w:lang w:val="vi-VN"/>
          <w14:ligatures w14:val="none"/>
        </w:rPr>
        <w:t>Seed production and juvenile rearing of the tropical abalone Haliotis varia Linnaeus 1758</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Aquaculture journal, 234 (1–4), 2004, P. 277-292.</w:t>
      </w:r>
    </w:p>
    <w:p w14:paraId="0ED2412F" w14:textId="77777777" w:rsidR="00952B8B" w:rsidRPr="00952B8B" w:rsidRDefault="00952B8B" w:rsidP="00952B8B">
      <w:pPr>
        <w:numPr>
          <w:ilvl w:val="0"/>
          <w:numId w:val="2"/>
        </w:numPr>
        <w:tabs>
          <w:tab w:val="left" w:pos="284"/>
          <w:tab w:val="left" w:pos="1080"/>
        </w:tabs>
        <w:spacing w:before="60" w:after="60" w:line="240" w:lineRule="auto"/>
        <w:contextualSpacing/>
        <w:jc w:val="both"/>
        <w:rPr>
          <w:rFonts w:eastAsia="Calibri" w:cs="Times New Roman"/>
          <w:kern w:val="0"/>
          <w:sz w:val="20"/>
          <w:szCs w:val="20"/>
          <w:lang w:val="vi-VN"/>
          <w14:ligatures w14:val="none"/>
        </w:rPr>
      </w:pPr>
      <w:r w:rsidRPr="00952B8B">
        <w:rPr>
          <w:rFonts w:eastAsia="Calibri" w:cs="Times New Roman"/>
          <w:kern w:val="0"/>
          <w:sz w:val="20"/>
          <w:szCs w:val="20"/>
          <w:lang w:val="vi-VN"/>
          <w14:ligatures w14:val="none"/>
        </w:rPr>
        <w:t xml:space="preserve">Rimmer, M.A, Glamuzina, B. </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w:t>
      </w:r>
      <w:r w:rsidRPr="00952B8B">
        <w:rPr>
          <w:rFonts w:eastAsia="Calibri" w:cs="Times New Roman"/>
          <w:i/>
          <w:kern w:val="0"/>
          <w:sz w:val="20"/>
          <w:szCs w:val="20"/>
          <w:lang w:val="vi-VN"/>
          <w14:ligatures w14:val="none"/>
        </w:rPr>
        <w:t>A review of grouper (Family Serranidae: Subfamily Epinephelinae) aquaculture from a sustainability science perspective</w:t>
      </w:r>
      <w:r w:rsidRPr="00952B8B">
        <w:rPr>
          <w:rFonts w:eastAsia="Calibri" w:cs="Times New Roman"/>
          <w:kern w:val="0"/>
          <w:sz w:val="20"/>
          <w:szCs w:val="20"/>
          <w14:ligatures w14:val="none"/>
        </w:rPr>
        <w:t>,</w:t>
      </w:r>
      <w:r w:rsidRPr="00952B8B">
        <w:rPr>
          <w:rFonts w:eastAsia="Calibri" w:cs="Times New Roman"/>
          <w:kern w:val="0"/>
          <w:sz w:val="20"/>
          <w:szCs w:val="20"/>
          <w:lang w:val="vi-VN"/>
          <w14:ligatures w14:val="none"/>
        </w:rPr>
        <w:t xml:space="preserve"> Reviews in Aquaculture journal, Dec. 2017.</w:t>
      </w:r>
    </w:p>
    <w:p w14:paraId="2B52443A"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E614A"/>
    <w:multiLevelType w:val="hybridMultilevel"/>
    <w:tmpl w:val="E5463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6198A"/>
    <w:multiLevelType w:val="hybridMultilevel"/>
    <w:tmpl w:val="E69A5278"/>
    <w:lvl w:ilvl="0" w:tplc="5768B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02960">
    <w:abstractNumId w:val="1"/>
  </w:num>
  <w:num w:numId="2" w16cid:durableId="134554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8B"/>
    <w:rsid w:val="00060052"/>
    <w:rsid w:val="0014220F"/>
    <w:rsid w:val="002B1871"/>
    <w:rsid w:val="002F0A7D"/>
    <w:rsid w:val="00587EC0"/>
    <w:rsid w:val="0070421C"/>
    <w:rsid w:val="0082578F"/>
    <w:rsid w:val="00952B8B"/>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7D53"/>
  <w15:chartTrackingRefBased/>
  <w15:docId w15:val="{7D026C69-64C3-400C-A051-A4A47629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952B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2B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2B8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2B8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2B8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52B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2B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2B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2B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2B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2B8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2B8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52B8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52B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2B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2B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2B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2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B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B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2B8B"/>
    <w:pPr>
      <w:spacing w:before="160"/>
      <w:jc w:val="center"/>
    </w:pPr>
    <w:rPr>
      <w:i/>
      <w:iCs/>
      <w:color w:val="404040" w:themeColor="text1" w:themeTint="BF"/>
    </w:rPr>
  </w:style>
  <w:style w:type="character" w:customStyle="1" w:styleId="QuoteChar">
    <w:name w:val="Quote Char"/>
    <w:basedOn w:val="DefaultParagraphFont"/>
    <w:link w:val="Quote"/>
    <w:uiPriority w:val="29"/>
    <w:rsid w:val="00952B8B"/>
    <w:rPr>
      <w:i/>
      <w:iCs/>
      <w:color w:val="404040" w:themeColor="text1" w:themeTint="BF"/>
    </w:rPr>
  </w:style>
  <w:style w:type="paragraph" w:styleId="ListParagraph">
    <w:name w:val="List Paragraph"/>
    <w:basedOn w:val="Normal"/>
    <w:uiPriority w:val="34"/>
    <w:qFormat/>
    <w:rsid w:val="00952B8B"/>
    <w:pPr>
      <w:ind w:left="720"/>
      <w:contextualSpacing/>
    </w:pPr>
  </w:style>
  <w:style w:type="character" w:styleId="IntenseEmphasis">
    <w:name w:val="Intense Emphasis"/>
    <w:basedOn w:val="DefaultParagraphFont"/>
    <w:uiPriority w:val="21"/>
    <w:qFormat/>
    <w:rsid w:val="00952B8B"/>
    <w:rPr>
      <w:i/>
      <w:iCs/>
      <w:color w:val="2E74B5" w:themeColor="accent1" w:themeShade="BF"/>
    </w:rPr>
  </w:style>
  <w:style w:type="paragraph" w:styleId="IntenseQuote">
    <w:name w:val="Intense Quote"/>
    <w:basedOn w:val="Normal"/>
    <w:next w:val="Normal"/>
    <w:link w:val="IntenseQuoteChar"/>
    <w:uiPriority w:val="30"/>
    <w:qFormat/>
    <w:rsid w:val="00952B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2B8B"/>
    <w:rPr>
      <w:i/>
      <w:iCs/>
      <w:color w:val="2E74B5" w:themeColor="accent1" w:themeShade="BF"/>
    </w:rPr>
  </w:style>
  <w:style w:type="character" w:styleId="IntenseReference">
    <w:name w:val="Intense Reference"/>
    <w:basedOn w:val="DefaultParagraphFont"/>
    <w:uiPriority w:val="32"/>
    <w:qFormat/>
    <w:rsid w:val="00952B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2025-12-04T07:01:00Z</dcterms:created>
  <dcterms:modified xsi:type="dcterms:W3CDTF">2025-12-04T07:01:00Z</dcterms:modified>
</cp:coreProperties>
</file>